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b/>
          <w:bCs/>
          <w:color w:val="000000" w:themeColor="text1"/>
          <w:kern w:val="0"/>
          <w:sz w:val="36"/>
          <w:szCs w:val="36"/>
          <w:shd w:val="clear" w:color="auto" w:fill="FFFFFF"/>
          <w14:textFill>
            <w14:solidFill>
              <w14:schemeClr w14:val="tx1"/>
            </w14:solidFill>
          </w14:textFill>
        </w:rPr>
        <w:t>厦门南洋职业学院</w:t>
      </w:r>
      <w:r>
        <w:rPr>
          <w:rFonts w:ascii="_5b8b_4f53" w:hAnsi="_5b8b_4f53" w:eastAsia="宋体" w:cs="宋体"/>
          <w:b/>
          <w:bCs/>
          <w:color w:val="000000" w:themeColor="text1"/>
          <w:kern w:val="0"/>
          <w:sz w:val="36"/>
          <w:szCs w:val="36"/>
          <w:shd w:val="clear" w:color="auto" w:fill="FFFFFF"/>
          <w14:textFill>
            <w14:solidFill>
              <w14:schemeClr w14:val="tx1"/>
            </w14:solidFill>
          </w14:textFill>
        </w:rPr>
        <w:t xml:space="preserve"> 20</w:t>
      </w:r>
      <w:r>
        <w:rPr>
          <w:rFonts w:hint="eastAsia" w:ascii="_5b8b_4f53" w:hAnsi="_5b8b_4f53" w:eastAsia="宋体" w:cs="宋体"/>
          <w:b/>
          <w:bCs/>
          <w:color w:val="000000" w:themeColor="text1"/>
          <w:kern w:val="0"/>
          <w:sz w:val="36"/>
          <w:szCs w:val="36"/>
          <w:shd w:val="clear" w:color="auto" w:fill="FFFFFF"/>
          <w14:textFill>
            <w14:solidFill>
              <w14:schemeClr w14:val="tx1"/>
            </w14:solidFill>
          </w14:textFill>
        </w:rPr>
        <w:t>2</w:t>
      </w:r>
      <w:r>
        <w:rPr>
          <w:rFonts w:hint="eastAsia" w:ascii="_5b8b_4f53" w:hAnsi="_5b8b_4f53" w:eastAsia="宋体" w:cs="宋体"/>
          <w:b/>
          <w:bCs/>
          <w:color w:val="000000" w:themeColor="text1"/>
          <w:kern w:val="0"/>
          <w:sz w:val="36"/>
          <w:szCs w:val="36"/>
          <w:shd w:val="clear" w:color="auto" w:fill="FFFFFF"/>
          <w:lang w:val="en-US" w:eastAsia="zh-CN"/>
          <w14:textFill>
            <w14:solidFill>
              <w14:schemeClr w14:val="tx1"/>
            </w14:solidFill>
          </w14:textFill>
        </w:rPr>
        <w:t>1</w:t>
      </w:r>
      <w:r>
        <w:rPr>
          <w:rFonts w:hint="eastAsia" w:ascii="_5b8b_4f53" w:hAnsi="_5b8b_4f53" w:eastAsia="宋体" w:cs="宋体"/>
          <w:b/>
          <w:bCs/>
          <w:color w:val="000000" w:themeColor="text1"/>
          <w:kern w:val="0"/>
          <w:sz w:val="36"/>
          <w:szCs w:val="36"/>
          <w:shd w:val="clear" w:color="auto" w:fill="FFFFFF"/>
          <w14:textFill>
            <w14:solidFill>
              <w14:schemeClr w14:val="tx1"/>
            </w14:solidFill>
          </w14:textFill>
        </w:rPr>
        <w:t>年</w:t>
      </w:r>
      <w:r>
        <w:rPr>
          <w:rFonts w:hint="eastAsia" w:ascii="宋体" w:hAnsi="宋体" w:eastAsia="宋体" w:cs="宋体"/>
          <w:b/>
          <w:bCs/>
          <w:color w:val="auto"/>
          <w:sz w:val="36"/>
          <w:szCs w:val="36"/>
          <w:highlight w:val="none"/>
        </w:rPr>
        <w:t>高职分类招考招生章程</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hint="eastAsia" w:ascii="_5b8b_4f53" w:hAnsi="_5b8b_4f53" w:eastAsia="宋体" w:cs="宋体"/>
          <w:b/>
          <w:bCs/>
          <w:color w:val="000000" w:themeColor="text1"/>
          <w:kern w:val="0"/>
          <w:sz w:val="24"/>
          <w:szCs w:val="24"/>
          <w:shd w:val="clear" w:color="auto" w:fill="FFFFFF"/>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hint="eastAsia" w:ascii="_5b8b_4f53" w:hAnsi="_5b8b_4f53" w:eastAsia="宋体" w:cs="宋体"/>
          <w:b/>
          <w:bCs/>
          <w:color w:val="000000" w:themeColor="text1"/>
          <w:kern w:val="0"/>
          <w:sz w:val="24"/>
          <w:szCs w:val="24"/>
          <w:shd w:val="clear" w:color="auto" w:fill="FFFFFF"/>
          <w14:textFill>
            <w14:solidFill>
              <w14:schemeClr w14:val="tx1"/>
            </w14:solidFill>
          </w14:textFill>
        </w:rPr>
      </w:pPr>
      <w:r>
        <w:rPr>
          <w:rFonts w:hint="eastAsia" w:ascii="_5b8b_4f53" w:hAnsi="_5b8b_4f53" w:eastAsia="宋体" w:cs="宋体"/>
          <w:b/>
          <w:bCs/>
          <w:color w:val="000000" w:themeColor="text1"/>
          <w:kern w:val="0"/>
          <w:sz w:val="24"/>
          <w:szCs w:val="24"/>
          <w:shd w:val="clear" w:color="auto" w:fill="FFFFFF"/>
          <w14:textFill>
            <w14:solidFill>
              <w14:schemeClr w14:val="tx1"/>
            </w14:solidFill>
          </w14:textFill>
        </w:rPr>
        <w:t>一、学校简介</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ascii="宋体" w:hAnsi="宋体" w:eastAsia="宋体" w:cs="宋体"/>
          <w:color w:val="000000" w:themeColor="text1"/>
          <w:kern w:val="0"/>
          <w:sz w:val="27"/>
          <w:szCs w:val="27"/>
          <w14:textFill>
            <w14:solidFill>
              <w14:schemeClr w14:val="tx1"/>
            </w14:solidFill>
          </w14:textFill>
        </w:rPr>
      </w:pPr>
      <w:r>
        <w:rPr>
          <w:rFonts w:ascii="_5b8b_4f53" w:hAnsi="_5b8b_4f53" w:eastAsia="宋体" w:cs="宋体"/>
          <w:color w:val="000000" w:themeColor="text1"/>
          <w:kern w:val="0"/>
          <w:sz w:val="24"/>
          <w:szCs w:val="24"/>
          <w:shd w:val="clear" w:color="auto" w:fill="FFFFFF"/>
          <w14:textFill>
            <w14:solidFill>
              <w14:schemeClr w14:val="tx1"/>
            </w14:solidFill>
          </w14:textFill>
        </w:rPr>
        <w:t>厦门南洋职业学院</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创办于2000年，</w:t>
      </w:r>
      <w:r>
        <w:rPr>
          <w:rFonts w:ascii="_5b8b_4f53" w:hAnsi="_5b8b_4f53" w:eastAsia="宋体" w:cs="宋体"/>
          <w:color w:val="000000" w:themeColor="text1"/>
          <w:kern w:val="0"/>
          <w:sz w:val="24"/>
          <w:szCs w:val="24"/>
          <w:shd w:val="clear" w:color="auto" w:fill="FFFFFF"/>
          <w14:textFill>
            <w14:solidFill>
              <w14:schemeClr w14:val="tx1"/>
            </w14:solidFill>
          </w14:textFill>
        </w:rPr>
        <w:t>是国家教育部备案、具有全国高考统招和独立颁发国家承认文凭资格的全日制普通高等学校，由海内外热心教育的十五位学者、企业家联合发起创办。学校下设九个二级学院，在校学生近万名。</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ascii="宋体" w:hAnsi="宋体" w:eastAsia="宋体" w:cs="宋体"/>
          <w:color w:val="000000" w:themeColor="text1"/>
          <w:kern w:val="0"/>
          <w:sz w:val="27"/>
          <w:szCs w:val="27"/>
          <w14:textFill>
            <w14:solidFill>
              <w14:schemeClr w14:val="tx1"/>
            </w14:solidFill>
          </w14:textFill>
        </w:rPr>
      </w:pPr>
      <w:r>
        <w:rPr>
          <w:rFonts w:ascii="_5b8b_4f53" w:hAnsi="_5b8b_4f53" w:eastAsia="宋体" w:cs="宋体"/>
          <w:color w:val="000000" w:themeColor="text1"/>
          <w:kern w:val="0"/>
          <w:sz w:val="24"/>
          <w:szCs w:val="24"/>
          <w:shd w:val="clear" w:color="auto" w:fill="FFFFFF"/>
          <w14:textFill>
            <w14:solidFill>
              <w14:schemeClr w14:val="tx1"/>
            </w14:solidFill>
          </w14:textFill>
        </w:rPr>
        <w:t>学校地处海上花园城市厦门，位于翔安文教区，占地</w:t>
      </w:r>
      <w:r>
        <w:rPr>
          <w:rFonts w:hint="eastAsia" w:ascii="_5b8b_4f53" w:hAnsi="_5b8b_4f53" w:eastAsia="宋体" w:cs="宋体"/>
          <w:color w:val="000000" w:themeColor="text1"/>
          <w:kern w:val="0"/>
          <w:sz w:val="24"/>
          <w:szCs w:val="24"/>
          <w:shd w:val="clear" w:color="auto" w:fill="FFFFFF"/>
          <w:lang w:val="en-US" w:eastAsia="zh-CN"/>
          <w14:textFill>
            <w14:solidFill>
              <w14:schemeClr w14:val="tx1"/>
            </w14:solidFill>
          </w14:textFill>
        </w:rPr>
        <w:t>587</w:t>
      </w:r>
      <w:r>
        <w:rPr>
          <w:rFonts w:ascii="_5b8b_4f53" w:hAnsi="_5b8b_4f53" w:eastAsia="宋体" w:cs="宋体"/>
          <w:color w:val="000000" w:themeColor="text1"/>
          <w:kern w:val="0"/>
          <w:sz w:val="24"/>
          <w:szCs w:val="24"/>
          <w:shd w:val="clear" w:color="auto" w:fill="FFFFFF"/>
          <w14:textFill>
            <w14:solidFill>
              <w14:schemeClr w14:val="tx1"/>
            </w14:solidFill>
          </w14:textFill>
        </w:rPr>
        <w:t>亩，设计建筑面积31万平方米，由瑞士著名建筑师设计，集数字型、环保型、生态型于一体。校园内湖光涟漪，绿树成荫。教学楼、学生公寓、标准田径场、创业活动中心、图书馆等教育教学设施完善，功能齐全，教学手段先进；现代化足球场、篮球场、排球场、网球场宽敞洁净。</w:t>
      </w:r>
      <w:r>
        <w:rPr>
          <w:rFonts w:hint="eastAsia" w:cs="宋体" w:asciiTheme="minorEastAsia" w:hAnsiTheme="minorEastAsia"/>
          <w:color w:val="000000" w:themeColor="text1"/>
          <w:kern w:val="0"/>
          <w:sz w:val="24"/>
          <w:szCs w:val="24"/>
          <w14:textFill>
            <w14:solidFill>
              <w14:schemeClr w14:val="tx1"/>
            </w14:solidFill>
          </w14:textFill>
        </w:rPr>
        <w:t>学校秉承以人为本、特色办学、全面育人的办学理念，坚持创新型、创业型、开放型办学，注重培养外向型、复合型、应用型人才。</w:t>
      </w:r>
      <w:r>
        <w:rPr>
          <w:rFonts w:ascii="_5b8b_4f53" w:hAnsi="_5b8b_4f53" w:eastAsia="宋体" w:cs="宋体"/>
          <w:color w:val="000000" w:themeColor="text1"/>
          <w:kern w:val="0"/>
          <w:sz w:val="24"/>
          <w:szCs w:val="24"/>
          <w:shd w:val="clear" w:color="auto" w:fill="FFFFFF"/>
          <w14:textFill>
            <w14:solidFill>
              <w14:schemeClr w14:val="tx1"/>
            </w14:solidFill>
          </w14:textFill>
        </w:rPr>
        <w:t>学校现有专职教职员工和从</w:t>
      </w:r>
      <w:r>
        <w:rPr>
          <w:rFonts w:hint="eastAsia" w:cs="宋体" w:asciiTheme="minorEastAsia" w:hAnsiTheme="minorEastAsia"/>
          <w:color w:val="000000" w:themeColor="text1"/>
          <w:kern w:val="0"/>
          <w:sz w:val="24"/>
          <w:szCs w:val="24"/>
          <w14:textFill>
            <w14:solidFill>
              <w14:schemeClr w14:val="tx1"/>
            </w14:solidFill>
          </w14:textFill>
        </w:rPr>
        <w:t>厦门大学、西北工业大学、新加波南洋理工大学等国内外知名院校</w:t>
      </w:r>
      <w:r>
        <w:rPr>
          <w:rFonts w:ascii="_5b8b_4f53" w:hAnsi="_5b8b_4f53" w:eastAsia="宋体" w:cs="宋体"/>
          <w:color w:val="000000" w:themeColor="text1"/>
          <w:kern w:val="0"/>
          <w:sz w:val="24"/>
          <w:szCs w:val="24"/>
          <w:shd w:val="clear" w:color="auto" w:fill="FFFFFF"/>
          <w14:textFill>
            <w14:solidFill>
              <w14:schemeClr w14:val="tx1"/>
            </w14:solidFill>
          </w14:textFill>
        </w:rPr>
        <w:t>、跨国公司和研究机构聘请的兼职教授、副教授、讲师六百余人</w:t>
      </w:r>
      <w:bookmarkStart w:id="0" w:name="_GoBack"/>
      <w:bookmarkEnd w:id="0"/>
      <w:r>
        <w:rPr>
          <w:rFonts w:ascii="_5b8b_4f53" w:hAnsi="_5b8b_4f53" w:eastAsia="宋体" w:cs="宋体"/>
          <w:color w:val="000000" w:themeColor="text1"/>
          <w:kern w:val="0"/>
          <w:sz w:val="24"/>
          <w:szCs w:val="24"/>
          <w:shd w:val="clear" w:color="auto"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cs="宋体" w:asciiTheme="minorEastAsia" w:hAnsiTheme="minorEastAsia"/>
          <w:color w:val="000000" w:themeColor="text1"/>
          <w:kern w:val="0"/>
          <w:sz w:val="24"/>
          <w:szCs w:val="24"/>
          <w14:textFill>
            <w14:solidFill>
              <w14:schemeClr w14:val="tx1"/>
            </w14:solidFill>
          </w14:textFill>
        </w:rPr>
        <w:t>学校地处经济特区，拥有开放办学和开放就业的先决条件，深受企业青睐。国内外企业来校预订大量人才，毕业生供不应求。学校设立了1000万元大学生创业基金，支持和鼓励大学生创业，为学生创业提供资金支持。郑智勇获得首批创业基金支持，为反哺母校的扶持，成功创业后捐赠“慧赢教育创业基金”100万元支持学弟、学妹创业。</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2" w:firstLineChars="20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b/>
          <w:bCs/>
          <w:color w:val="000000" w:themeColor="text1"/>
          <w:kern w:val="0"/>
          <w:sz w:val="24"/>
          <w:szCs w:val="24"/>
          <w:shd w:val="clear" w:color="auto" w:fill="FFFFFF"/>
          <w14:textFill>
            <w14:solidFill>
              <w14:schemeClr w14:val="tx1"/>
            </w14:solidFill>
          </w14:textFill>
        </w:rPr>
        <w:t>二、招生层次</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65"/>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学院全称：厦门南洋职业学院</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65"/>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学院代码：</w:t>
      </w:r>
      <w:r>
        <w:rPr>
          <w:rFonts w:cs="宋体" w:asciiTheme="minorEastAsia" w:hAnsiTheme="minorEastAsia"/>
          <w:color w:val="000000" w:themeColor="text1"/>
          <w:kern w:val="0"/>
          <w:sz w:val="24"/>
          <w:szCs w:val="24"/>
          <w:shd w:val="clear" w:color="auto" w:fill="FFFFFF"/>
          <w14:textFill>
            <w14:solidFill>
              <w14:schemeClr w14:val="tx1"/>
            </w14:solidFill>
          </w14:textFill>
        </w:rPr>
        <w:t>14111</w:t>
      </w: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（全国代码）</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办学地址：福建省厦门市翔安文教区</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80"/>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招生层次：高职专科，学制三年</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65"/>
        <w:jc w:val="left"/>
        <w:textAlignment w:val="auto"/>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themeColor="text1"/>
          <w:kern w:val="0"/>
          <w:sz w:val="24"/>
          <w:szCs w:val="24"/>
          <w:shd w:val="clear" w:color="auto" w:fill="FFFFFF"/>
          <w14:textFill>
            <w14:solidFill>
              <w14:schemeClr w14:val="tx1"/>
            </w14:solidFill>
          </w14:textFill>
        </w:rPr>
        <w:t>办学类型：民办全日制普通高等职业院校</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主管部门：福建省教育厅</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65"/>
        <w:jc w:val="left"/>
        <w:textAlignment w:val="auto"/>
        <w:rPr>
          <w:rFonts w:ascii="宋体" w:hAnsi="宋体" w:eastAsia="宋体" w:cs="宋体"/>
          <w:color w:val="000000" w:themeColor="text1"/>
          <w:kern w:val="0"/>
          <w:sz w:val="27"/>
          <w:szCs w:val="27"/>
          <w14:textFill>
            <w14:solidFill>
              <w14:schemeClr w14:val="tx1"/>
            </w14:solidFill>
          </w14:textFill>
        </w:rPr>
      </w:pPr>
      <w:r>
        <w:rPr>
          <w:rFonts w:ascii="_5b8b_4f53" w:hAnsi="_5b8b_4f53" w:eastAsia="宋体" w:cs="宋体"/>
          <w:color w:val="000000" w:themeColor="text1"/>
          <w:kern w:val="0"/>
          <w:sz w:val="24"/>
          <w:szCs w:val="24"/>
          <w:shd w:val="clear" w:color="auto" w:fill="FFFFFF"/>
          <w14:textFill>
            <w14:solidFill>
              <w14:schemeClr w14:val="tx1"/>
            </w14:solidFill>
          </w14:textFill>
        </w:rPr>
        <w:t>本次录取的学生属国家计划内统招生，学生入学后修完全部学业，成绩合格准予毕业，由我校颁发国家承认、电子注册的普通高等教育专科毕业证书，可在中国高等教育学生信息网上查询认证。</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65"/>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b/>
          <w:bCs/>
          <w:color w:val="000000" w:themeColor="text1"/>
          <w:kern w:val="0"/>
          <w:sz w:val="24"/>
          <w:szCs w:val="24"/>
          <w:shd w:val="clear" w:color="auto" w:fill="FFFFFF"/>
          <w14:textFill>
            <w14:solidFill>
              <w14:schemeClr w14:val="tx1"/>
            </w14:solidFill>
          </w14:textFill>
        </w:rPr>
        <w:t>三、招生专业及计划</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65"/>
        <w:jc w:val="left"/>
        <w:textAlignment w:val="auto"/>
        <w:rPr>
          <w:rFonts w:hint="eastAsia" w:ascii="_5b8b_4f53" w:hAnsi="_5b8b_4f53" w:eastAsia="宋体" w:cs="宋体"/>
          <w:color w:val="000000" w:themeColor="text1"/>
          <w:kern w:val="0"/>
          <w:sz w:val="24"/>
          <w:szCs w:val="24"/>
          <w:shd w:val="clear" w:color="auto" w:fill="FFFFFF"/>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202</w:t>
      </w:r>
      <w:r>
        <w:rPr>
          <w:rFonts w:hint="eastAsia" w:ascii="_5b8b_4f53" w:hAnsi="_5b8b_4f53" w:eastAsia="宋体" w:cs="宋体"/>
          <w:color w:val="000000" w:themeColor="text1"/>
          <w:kern w:val="0"/>
          <w:sz w:val="24"/>
          <w:szCs w:val="24"/>
          <w:shd w:val="clear" w:color="auto" w:fill="FFFFFF"/>
          <w:lang w:val="en-US" w:eastAsia="zh-CN"/>
          <w14:textFill>
            <w14:solidFill>
              <w14:schemeClr w14:val="tx1"/>
            </w14:solidFill>
          </w14:textFill>
        </w:rPr>
        <w:t>1</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年高职</w:t>
      </w:r>
      <w:r>
        <w:rPr>
          <w:rFonts w:hint="eastAsia" w:ascii="_5b8b_4f53" w:hAnsi="_5b8b_4f53" w:eastAsia="宋体" w:cs="宋体"/>
          <w:color w:val="000000" w:themeColor="text1"/>
          <w:kern w:val="0"/>
          <w:sz w:val="24"/>
          <w:szCs w:val="24"/>
          <w:shd w:val="clear" w:color="auto" w:fill="FFFFFF"/>
          <w:lang w:eastAsia="zh-CN"/>
          <w14:textFill>
            <w14:solidFill>
              <w14:schemeClr w14:val="tx1"/>
            </w14:solidFill>
          </w14:textFill>
        </w:rPr>
        <w:t>分类</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招考具体招生专业及招生计划以福建省教育考试院出版的《福建招生资讯—202</w:t>
      </w:r>
      <w:r>
        <w:rPr>
          <w:rFonts w:hint="eastAsia" w:ascii="_5b8b_4f53" w:hAnsi="_5b8b_4f53" w:eastAsia="宋体" w:cs="宋体"/>
          <w:color w:val="000000" w:themeColor="text1"/>
          <w:kern w:val="0"/>
          <w:sz w:val="24"/>
          <w:szCs w:val="24"/>
          <w:shd w:val="clear" w:color="auto" w:fill="FFFFFF"/>
          <w:lang w:val="en-US" w:eastAsia="zh-CN"/>
          <w14:textFill>
            <w14:solidFill>
              <w14:schemeClr w14:val="tx1"/>
            </w14:solidFill>
          </w14:textFill>
        </w:rPr>
        <w:t>1</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年高职</w:t>
      </w:r>
      <w:r>
        <w:rPr>
          <w:rFonts w:hint="eastAsia" w:ascii="_5b8b_4f53" w:hAnsi="_5b8b_4f53" w:eastAsia="宋体" w:cs="宋体"/>
          <w:color w:val="000000" w:themeColor="text1"/>
          <w:kern w:val="0"/>
          <w:sz w:val="24"/>
          <w:szCs w:val="24"/>
          <w:shd w:val="clear" w:color="auto" w:fill="FFFFFF"/>
          <w:lang w:eastAsia="zh-CN"/>
          <w14:textFill>
            <w14:solidFill>
              <w14:schemeClr w14:val="tx1"/>
            </w14:solidFill>
          </w14:textFill>
        </w:rPr>
        <w:t>分类</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招考招生计划》公布为准。</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65"/>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b/>
          <w:bCs/>
          <w:color w:val="000000" w:themeColor="text1"/>
          <w:kern w:val="0"/>
          <w:sz w:val="24"/>
          <w:szCs w:val="24"/>
          <w:shd w:val="clear" w:color="auto" w:fill="FFFFFF"/>
          <w14:textFill>
            <w14:solidFill>
              <w14:schemeClr w14:val="tx1"/>
            </w14:solidFill>
          </w14:textFill>
        </w:rPr>
        <w:t>四、招生要求</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65"/>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ascii="_5b8b_4f53" w:hAnsi="_5b8b_4f53" w:eastAsia="宋体" w:cs="宋体"/>
          <w:color w:val="000000" w:themeColor="text1"/>
          <w:kern w:val="0"/>
          <w:sz w:val="24"/>
          <w:szCs w:val="24"/>
          <w:shd w:val="clear" w:color="auto" w:fill="FFFFFF"/>
          <w14:textFill>
            <w14:solidFill>
              <w14:schemeClr w14:val="tx1"/>
            </w14:solidFill>
          </w14:textFill>
        </w:rPr>
        <w:t>1</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、外语语种：</w:t>
      </w:r>
      <w:r>
        <w:rPr>
          <w:rFonts w:hint="eastAsia" w:ascii="_5b8b_4f53" w:hAnsi="_5b8b_4f53" w:eastAsia="宋体" w:cs="宋体"/>
          <w:color w:val="000000" w:themeColor="text1"/>
          <w:kern w:val="0"/>
          <w:sz w:val="24"/>
          <w:szCs w:val="24"/>
          <w:shd w:val="clear" w:color="auto" w:fill="FFFFFF"/>
          <w:lang w:eastAsia="zh-CN"/>
          <w14:textFill>
            <w14:solidFill>
              <w14:schemeClr w14:val="tx1"/>
            </w14:solidFill>
          </w14:textFill>
        </w:rPr>
        <w:t>不限</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8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ascii="_5b8b_4f53" w:hAnsi="_5b8b_4f53" w:eastAsia="宋体" w:cs="宋体"/>
          <w:color w:val="000000" w:themeColor="text1"/>
          <w:kern w:val="0"/>
          <w:sz w:val="24"/>
          <w:szCs w:val="24"/>
          <w:shd w:val="clear" w:color="auto" w:fill="FFFFFF"/>
          <w14:textFill>
            <w14:solidFill>
              <w14:schemeClr w14:val="tx1"/>
            </w14:solidFill>
          </w14:textFill>
        </w:rPr>
        <w:t>2</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各个专业均无性别限制。考生身体健康状况参照由教育部、卫生部制定的《普通高等学校招生体检工作指导意见》的有关规定执行。新生入学后，须进行身体健康复检，凡不符合录取要求或弄虚作假者，取消入学资格。</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8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b/>
          <w:bCs/>
          <w:color w:val="000000" w:themeColor="text1"/>
          <w:kern w:val="0"/>
          <w:sz w:val="24"/>
          <w:szCs w:val="24"/>
          <w:shd w:val="clear" w:color="auto" w:fill="FFFFFF"/>
          <w14:textFill>
            <w14:solidFill>
              <w14:schemeClr w14:val="tx1"/>
            </w14:solidFill>
          </w14:textFill>
        </w:rPr>
        <w:t>五、组织机构</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65"/>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成立以学校分管领导为组长的招生领导小组，统一领导全校招生录取工作，学校招生办公室负责处理日常具体工作。严格按福建省主管部门核定的招生计划和学校制定的招生规则进行招生。</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65"/>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成立以学校分管领导为组长的纪检监察小组，负责监督招生录取的各项工作和处理各类招生投诉。</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150" w:after="150" w:line="380" w:lineRule="exact"/>
        <w:ind w:firstLine="465"/>
        <w:jc w:val="left"/>
        <w:textAlignment w:val="auto"/>
        <w:rPr>
          <w:rFonts w:hint="eastAsia" w:ascii="宋体" w:hAnsi="宋体" w:eastAsia="宋体" w:cs="宋体"/>
          <w:color w:val="000000"/>
          <w:kern w:val="0"/>
          <w:sz w:val="27"/>
          <w:szCs w:val="27"/>
        </w:rPr>
      </w:pPr>
      <w:r>
        <w:rPr>
          <w:rFonts w:hint="eastAsia" w:ascii="_5b8b_4f53" w:hAnsi="_5b8b_4f53" w:eastAsia="宋体" w:cs="宋体"/>
          <w:b/>
          <w:bCs/>
          <w:color w:val="000000" w:themeColor="text1"/>
          <w:kern w:val="0"/>
          <w:sz w:val="24"/>
          <w:szCs w:val="24"/>
          <w:shd w:val="clear" w:color="auto" w:fill="FFFFFF"/>
          <w14:textFill>
            <w14:solidFill>
              <w14:schemeClr w14:val="tx1"/>
            </w14:solidFill>
          </w14:textFill>
        </w:rPr>
        <w:t>录取规则：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50" w:after="150" w:line="380" w:lineRule="exact"/>
        <w:ind w:firstLine="480" w:firstLineChars="200"/>
        <w:jc w:val="left"/>
        <w:textAlignment w:val="auto"/>
        <w:rPr>
          <w:rFonts w:hint="eastAsia" w:ascii="宋体" w:hAnsi="宋体" w:eastAsia="宋体" w:cs="宋体"/>
          <w:color w:val="000000"/>
          <w:kern w:val="0"/>
          <w:sz w:val="27"/>
          <w:szCs w:val="27"/>
        </w:rPr>
      </w:pPr>
      <w:r>
        <w:rPr>
          <w:rFonts w:hint="eastAsia" w:ascii="宋体" w:hAnsi="宋体" w:eastAsia="宋体" w:cs="宋体"/>
          <w:b w:val="0"/>
          <w:bCs w:val="0"/>
          <w:color w:val="auto"/>
          <w:sz w:val="24"/>
          <w:szCs w:val="24"/>
          <w:highlight w:val="none"/>
        </w:rPr>
        <w:t>高职分类招考</w:t>
      </w:r>
      <w:r>
        <w:rPr>
          <w:rFonts w:ascii="_5b8b_4f53" w:hAnsi="_5b8b_4f53" w:eastAsia="宋体" w:cs="宋体"/>
          <w:color w:val="444444"/>
          <w:kern w:val="0"/>
          <w:sz w:val="24"/>
          <w:szCs w:val="24"/>
          <w:shd w:val="clear" w:color="auto" w:fill="FFFFFF"/>
        </w:rPr>
        <w:t>招生录取工作严格按照福建省教育厅颁布的有关高校招生政策和实施细则，坚持公平竞争、公正选拔、综合评价、择优录取的原则进行。我校认真录取对思想政治品德考核合格、参加体检、统考成绩达到同批录取控制分数线并符合调档要求的考生。同时正确处理好考生成绩和志愿的关系，认真负责地对待各志愿（包括</w:t>
      </w:r>
      <w:r>
        <w:rPr>
          <w:rFonts w:hint="eastAsia" w:ascii="_5b8b_4f53" w:hAnsi="_5b8b_4f53" w:eastAsia="宋体" w:cs="宋体"/>
          <w:color w:val="444444"/>
          <w:kern w:val="0"/>
          <w:sz w:val="24"/>
          <w:szCs w:val="24"/>
          <w:shd w:val="clear" w:color="auto" w:fill="FFFFFF"/>
        </w:rPr>
        <w:t>常规</w:t>
      </w:r>
      <w:r>
        <w:rPr>
          <w:rFonts w:ascii="_5b8b_4f53" w:hAnsi="_5b8b_4f53" w:eastAsia="宋体" w:cs="宋体"/>
          <w:color w:val="444444"/>
          <w:kern w:val="0"/>
          <w:sz w:val="24"/>
          <w:szCs w:val="24"/>
          <w:shd w:val="clear" w:color="auto" w:fill="FFFFFF"/>
        </w:rPr>
        <w:t>志愿及征求志愿）的考生。</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right="105" w:firstLine="480"/>
        <w:jc w:val="left"/>
        <w:textAlignment w:val="auto"/>
        <w:rPr>
          <w:rFonts w:hint="eastAsia" w:ascii="宋体" w:hAnsi="宋体" w:eastAsia="宋体" w:cs="宋体"/>
          <w:color w:val="000000"/>
          <w:kern w:val="0"/>
          <w:sz w:val="27"/>
          <w:szCs w:val="27"/>
        </w:rPr>
      </w:pPr>
      <w:r>
        <w:rPr>
          <w:rFonts w:hint="eastAsia" w:ascii="_5b8b_4f53" w:hAnsi="_5b8b_4f53" w:eastAsia="宋体" w:cs="宋体"/>
          <w:color w:val="444444"/>
          <w:kern w:val="0"/>
          <w:sz w:val="24"/>
          <w:szCs w:val="24"/>
          <w:shd w:val="clear" w:color="auto" w:fill="FFFFFF"/>
        </w:rPr>
        <w:t>常规志愿</w:t>
      </w:r>
      <w:r>
        <w:rPr>
          <w:rFonts w:ascii="_5b8b_4f53" w:hAnsi="_5b8b_4f53" w:eastAsia="宋体" w:cs="宋体"/>
          <w:color w:val="444444"/>
          <w:kern w:val="0"/>
          <w:sz w:val="24"/>
          <w:szCs w:val="24"/>
          <w:shd w:val="clear" w:color="auto" w:fill="FFFFFF"/>
        </w:rPr>
        <w:t>录取后仍有专业未完成招生计划的，则进行征求志愿。对征求志愿进档考生参照</w:t>
      </w:r>
      <w:r>
        <w:rPr>
          <w:rFonts w:hint="eastAsia" w:ascii="_5b8b_4f53" w:hAnsi="_5b8b_4f53" w:eastAsia="宋体" w:cs="宋体"/>
          <w:color w:val="444444"/>
          <w:kern w:val="0"/>
          <w:sz w:val="24"/>
          <w:szCs w:val="24"/>
          <w:shd w:val="clear" w:color="auto" w:fill="FFFFFF"/>
        </w:rPr>
        <w:t>常规志愿</w:t>
      </w:r>
      <w:r>
        <w:rPr>
          <w:rFonts w:ascii="_5b8b_4f53" w:hAnsi="_5b8b_4f53" w:eastAsia="宋体" w:cs="宋体"/>
          <w:color w:val="444444"/>
          <w:kern w:val="0"/>
          <w:sz w:val="24"/>
          <w:szCs w:val="24"/>
          <w:shd w:val="clear" w:color="auto" w:fill="FFFFFF"/>
        </w:rPr>
        <w:t>录取规则执行。</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right="105" w:firstLine="465"/>
        <w:jc w:val="left"/>
        <w:textAlignment w:val="auto"/>
        <w:rPr>
          <w:rFonts w:hint="eastAsia" w:ascii="宋体" w:hAnsi="宋体" w:eastAsia="宋体" w:cs="宋体"/>
          <w:color w:val="000000"/>
          <w:kern w:val="0"/>
          <w:sz w:val="27"/>
          <w:szCs w:val="27"/>
        </w:rPr>
      </w:pPr>
      <w:r>
        <w:rPr>
          <w:rFonts w:ascii="_5b8b_4f53" w:hAnsi="_5b8b_4f53" w:eastAsia="宋体" w:cs="宋体"/>
          <w:b/>
          <w:bCs/>
          <w:color w:val="444444"/>
          <w:kern w:val="0"/>
          <w:sz w:val="24"/>
          <w:szCs w:val="24"/>
          <w:shd w:val="clear" w:color="auto" w:fill="FFFFFF"/>
        </w:rPr>
        <w:t>面向高中生招生录取规则：</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right="105" w:firstLine="465"/>
        <w:jc w:val="left"/>
        <w:textAlignment w:val="auto"/>
        <w:rPr>
          <w:rFonts w:hint="eastAsia" w:ascii="_5b8b_4f53" w:hAnsi="_5b8b_4f53" w:eastAsia="宋体" w:cs="宋体"/>
          <w:color w:val="444444"/>
          <w:kern w:val="0"/>
          <w:sz w:val="24"/>
          <w:szCs w:val="24"/>
          <w:shd w:val="clear" w:color="auto" w:fill="FFFFFF"/>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执行按专业平行志愿投档录取模式，</w:t>
      </w:r>
      <w:r>
        <w:rPr>
          <w:rFonts w:hint="eastAsia" w:cs="仿宋_GB2312" w:asciiTheme="minorEastAsia" w:hAnsiTheme="minorEastAsia"/>
          <w:color w:val="000000" w:themeColor="text1"/>
          <w:sz w:val="24"/>
          <w:szCs w:val="24"/>
          <w14:textFill>
            <w14:solidFill>
              <w14:schemeClr w14:val="tx1"/>
            </w14:solidFill>
          </w14:textFill>
        </w:rPr>
        <w:t>考生可享受当年普通高考录取照顾政策，</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考生成绩按投档分从高分到低分进行排序。投档分相同时，先同等优先、</w:t>
      </w:r>
      <w:r>
        <w:rPr>
          <w:rFonts w:hint="eastAsia" w:cs="仿宋_GB2312" w:asciiTheme="minorEastAsia" w:hAnsiTheme="minorEastAsia"/>
          <w:color w:val="000000" w:themeColor="text1"/>
          <w:sz w:val="24"/>
          <w:szCs w:val="24"/>
          <w14:textFill>
            <w14:solidFill>
              <w14:schemeClr w14:val="tx1"/>
            </w14:solidFill>
          </w14:textFill>
        </w:rPr>
        <w:t>再按语文、数学、外语、思想政治、信息技术、通用技术等科目成绩从高分到低分顺序进行排序确定考生位次。</w:t>
      </w:r>
      <w:r>
        <w:rPr>
          <w:rFonts w:hint="eastAsia" w:ascii="宋体" w:hAnsi="宋体" w:eastAsia="宋体" w:cs="宋体"/>
          <w:color w:val="000000" w:themeColor="text1"/>
          <w:kern w:val="0"/>
          <w:sz w:val="27"/>
          <w:szCs w:val="27"/>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right="105" w:firstLine="480"/>
        <w:jc w:val="left"/>
        <w:textAlignment w:val="auto"/>
        <w:rPr>
          <w:rFonts w:hint="eastAsia" w:ascii="宋体" w:hAnsi="宋体" w:eastAsia="宋体" w:cs="宋体"/>
          <w:color w:val="000000"/>
          <w:kern w:val="0"/>
          <w:sz w:val="27"/>
          <w:szCs w:val="27"/>
        </w:rPr>
      </w:pPr>
      <w:r>
        <w:rPr>
          <w:rFonts w:ascii="_5b8b_4f53" w:hAnsi="_5b8b_4f53" w:eastAsia="宋体" w:cs="宋体"/>
          <w:b/>
          <w:bCs/>
          <w:color w:val="444444"/>
          <w:kern w:val="0"/>
          <w:sz w:val="24"/>
          <w:szCs w:val="24"/>
          <w:shd w:val="clear" w:color="auto" w:fill="FFFFFF"/>
        </w:rPr>
        <w:t>面向中职类招生录取规则：</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lang w:val="en-US" w:eastAsia="zh-CN"/>
        </w:rPr>
        <w:t>高职分类招考</w:t>
      </w:r>
      <w:r>
        <w:rPr>
          <w:rFonts w:hint="eastAsia" w:ascii="宋体" w:hAnsi="宋体" w:eastAsia="宋体" w:cs="宋体"/>
          <w:color w:val="000000" w:themeColor="text1"/>
          <w:spacing w:val="8"/>
          <w:sz w:val="24"/>
          <w:szCs w:val="24"/>
          <w:shd w:val="clear" w:color="auto" w:fill="FFFFFF"/>
          <w14:textFill>
            <w14:solidFill>
              <w14:schemeClr w14:val="tx1"/>
            </w14:solidFill>
          </w14:textFill>
        </w:rPr>
        <w:t>实施</w:t>
      </w:r>
      <w:r>
        <w:rPr>
          <w:rFonts w:hint="eastAsia" w:ascii="宋体" w:hAnsi="宋体" w:eastAsia="宋体" w:cs="宋体"/>
          <w:color w:val="333333"/>
          <w:sz w:val="24"/>
          <w:szCs w:val="24"/>
          <w:shd w:val="clear" w:color="auto" w:fill="FFFFFF"/>
          <w:lang w:eastAsia="zh-CN"/>
        </w:rPr>
        <w:t>“两依据一参考”的招生录取</w:t>
      </w:r>
      <w:r>
        <w:rPr>
          <w:rFonts w:hint="eastAsia" w:ascii="宋体" w:hAnsi="宋体" w:eastAsia="宋体" w:cs="宋体"/>
          <w:color w:val="333333"/>
          <w:sz w:val="24"/>
          <w:szCs w:val="24"/>
          <w:shd w:val="clear" w:color="auto" w:fill="FFFFFF"/>
        </w:rPr>
        <w:t>办法</w:t>
      </w:r>
      <w:r>
        <w:rPr>
          <w:rFonts w:hint="eastAsia" w:ascii="宋体" w:hAnsi="宋体" w:eastAsia="宋体" w:cs="宋体"/>
          <w:color w:val="333333"/>
          <w:sz w:val="24"/>
          <w:szCs w:val="24"/>
          <w:shd w:val="clear" w:color="auto" w:fill="FFFFFF"/>
          <w:lang w:eastAsia="zh-CN"/>
        </w:rPr>
        <w:t>，即</w:t>
      </w:r>
      <w:r>
        <w:rPr>
          <w:rFonts w:hint="eastAsia" w:ascii="宋体" w:hAnsi="宋体" w:eastAsia="宋体" w:cs="宋体"/>
          <w:sz w:val="24"/>
          <w:szCs w:val="24"/>
          <w:lang w:val="en-US" w:eastAsia="zh-CN"/>
        </w:rPr>
        <w:t>依据</w:t>
      </w:r>
      <w:r>
        <w:rPr>
          <w:rFonts w:hint="eastAsia" w:ascii="宋体" w:hAnsi="宋体" w:eastAsia="宋体" w:cs="宋体"/>
          <w:sz w:val="24"/>
          <w:szCs w:val="24"/>
          <w:lang w:eastAsia="zh-CN"/>
        </w:rPr>
        <w:t>中等职业学校</w:t>
      </w:r>
      <w:r>
        <w:rPr>
          <w:rFonts w:hint="eastAsia" w:ascii="宋体" w:hAnsi="宋体" w:eastAsia="宋体" w:cs="宋体"/>
          <w:sz w:val="24"/>
          <w:szCs w:val="24"/>
          <w:lang w:val="en-US" w:eastAsia="zh-CN"/>
        </w:rPr>
        <w:t>学业水平考试成绩和职业技能测试成绩，</w:t>
      </w:r>
      <w:r>
        <w:rPr>
          <w:rFonts w:hint="eastAsia" w:ascii="宋体" w:hAnsi="宋体" w:eastAsia="宋体" w:cs="宋体"/>
          <w:color w:val="auto"/>
          <w:kern w:val="0"/>
          <w:sz w:val="24"/>
          <w:szCs w:val="24"/>
          <w:lang w:val="en-US" w:eastAsia="zh-CN"/>
        </w:rPr>
        <w:t>参考学生综合素质评价</w:t>
      </w:r>
      <w:r>
        <w:rPr>
          <w:rFonts w:hint="eastAsia" w:ascii="宋体" w:hAnsi="宋体" w:eastAsia="宋体" w:cs="宋体"/>
          <w:color w:val="auto"/>
          <w:sz w:val="24"/>
          <w:szCs w:val="24"/>
          <w:shd w:val="clear" w:color="auto" w:fill="FFFFFF"/>
          <w:lang w:eastAsia="zh-CN"/>
        </w:rPr>
        <w:t>择优</w:t>
      </w:r>
      <w:r>
        <w:rPr>
          <w:rFonts w:hint="eastAsia" w:ascii="宋体" w:hAnsi="宋体" w:eastAsia="宋体" w:cs="宋体"/>
          <w:color w:val="auto"/>
          <w:sz w:val="24"/>
          <w:szCs w:val="24"/>
          <w:shd w:val="clear" w:color="auto" w:fill="FFFFFF"/>
        </w:rPr>
        <w:t>录取。</w:t>
      </w:r>
      <w:r>
        <w:rPr>
          <w:rFonts w:hint="eastAsia" w:ascii="宋体" w:hAnsi="宋体" w:eastAsia="宋体" w:cs="宋体"/>
          <w:color w:val="auto"/>
          <w:sz w:val="24"/>
          <w:szCs w:val="24"/>
          <w:highlight w:val="none"/>
        </w:rPr>
        <w:t>对思想政治品德考核合格、总成绩相同的考生，先按符合录取照顾政策同等优先进行排序，</w:t>
      </w:r>
      <w:r>
        <w:rPr>
          <w:rFonts w:hint="eastAsia" w:ascii="宋体" w:hAnsi="宋体" w:eastAsia="宋体" w:cs="宋体"/>
          <w:color w:val="auto"/>
          <w:sz w:val="24"/>
          <w:szCs w:val="24"/>
          <w:highlight w:val="none"/>
          <w:lang w:eastAsia="zh-CN"/>
        </w:rPr>
        <w:t>中职学校类考生</w:t>
      </w:r>
      <w:r>
        <w:rPr>
          <w:rFonts w:hint="eastAsia" w:ascii="宋体" w:hAnsi="宋体" w:eastAsia="宋体" w:cs="宋体"/>
          <w:color w:val="auto"/>
          <w:sz w:val="24"/>
          <w:szCs w:val="24"/>
          <w:highlight w:val="none"/>
        </w:rPr>
        <w:t>再按专业基础知识、职业技能测试、公共基础知识科目成绩从高分到低分顺序进行排序确定考生位次</w:t>
      </w:r>
      <w:r>
        <w:rPr>
          <w:rFonts w:hint="eastAsia" w:ascii="宋体" w:hAnsi="宋体" w:eastAsia="宋体" w:cs="宋体"/>
          <w:color w:val="auto"/>
          <w:sz w:val="24"/>
          <w:szCs w:val="24"/>
          <w:highlight w:val="none"/>
          <w:lang w:eastAsia="zh-CN"/>
        </w:rPr>
        <w:t>。若仍同分，则认可录取系统的投档结果。若因同分造成同一院校专业投档人数超过计划数，超过部分一并录取。</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firstLineChars="200"/>
        <w:jc w:val="left"/>
        <w:textAlignment w:val="auto"/>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highlight w:val="none"/>
          <w:lang w:eastAsia="zh-CN"/>
        </w:rPr>
        <w:t>2021届普通高中类考生和中等职业学校的综合素质评价作为录取的参考，技工学校考生、往届毕业生或同等学力人员不作要求。</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65"/>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b/>
          <w:bCs/>
          <w:color w:val="000000" w:themeColor="text1"/>
          <w:kern w:val="0"/>
          <w:sz w:val="24"/>
          <w:szCs w:val="24"/>
          <w:shd w:val="clear" w:color="auto" w:fill="FFFFFF"/>
          <w14:textFill>
            <w14:solidFill>
              <w14:schemeClr w14:val="tx1"/>
            </w14:solidFill>
          </w14:textFill>
        </w:rPr>
        <w:t>七、收费项目、标准及退费办法</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65"/>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学校严格执行福建省有关收费文件规定，收费标准已上报厦门市教育局及厦门市发改委。</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ascii="_5b8b_4f53" w:hAnsi="_5b8b_4f53" w:eastAsia="宋体" w:cs="宋体"/>
          <w:color w:val="000000" w:themeColor="text1"/>
          <w:kern w:val="0"/>
          <w:sz w:val="24"/>
          <w:szCs w:val="24"/>
          <w:shd w:val="clear" w:color="auto" w:fill="FFFFFF"/>
          <w14:textFill>
            <w14:solidFill>
              <w14:schemeClr w14:val="tx1"/>
            </w14:solidFill>
          </w14:textFill>
        </w:rPr>
        <w:t>1</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、各专业学费标准：详见我院网站（</w:t>
      </w:r>
      <w:r>
        <w:rPr>
          <w:rFonts w:ascii="_5b8b_4f53" w:hAnsi="_5b8b_4f53" w:eastAsia="宋体" w:cs="宋体"/>
          <w:color w:val="000000" w:themeColor="text1"/>
          <w:kern w:val="0"/>
          <w:sz w:val="24"/>
          <w:szCs w:val="24"/>
          <w:shd w:val="clear" w:color="auto" w:fill="FFFFFF"/>
          <w14:textFill>
            <w14:solidFill>
              <w14:schemeClr w14:val="tx1"/>
            </w14:solidFill>
          </w14:textFill>
        </w:rPr>
        <w:t>http://zs.ny2000.cn/cn/index.htm</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　</w:t>
      </w:r>
    </w:p>
    <w:p>
      <w:pPr>
        <w:keepNext w:val="0"/>
        <w:keepLines w:val="0"/>
        <w:pageBreakBefore w:val="0"/>
        <w:widowControl/>
        <w:shd w:val="clear" w:color="auto" w:fill="FFFFFF"/>
        <w:tabs>
          <w:tab w:val="left" w:pos="6915"/>
        </w:tabs>
        <w:kinsoku/>
        <w:wordWrap/>
        <w:overflowPunct/>
        <w:topLinePunct w:val="0"/>
        <w:autoSpaceDE/>
        <w:autoSpaceDN/>
        <w:bidi w:val="0"/>
        <w:adjustRightInd/>
        <w:snapToGrid/>
        <w:spacing w:before="150" w:after="150" w:line="380" w:lineRule="exact"/>
        <w:ind w:firstLine="48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ascii="_5b8b_4f53" w:hAnsi="_5b8b_4f53" w:eastAsia="宋体" w:cs="宋体"/>
          <w:color w:val="000000" w:themeColor="text1"/>
          <w:kern w:val="0"/>
          <w:sz w:val="24"/>
          <w:szCs w:val="24"/>
          <w:shd w:val="clear" w:color="auto" w:fill="FFFFFF"/>
          <w14:textFill>
            <w14:solidFill>
              <w14:schemeClr w14:val="tx1"/>
            </w14:solidFill>
          </w14:textFill>
        </w:rPr>
        <w:t>2</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、住宿费收费标准：</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ab/>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学生公寓、宿舍住宿费</w:t>
      </w:r>
      <w:r>
        <w:rPr>
          <w:rFonts w:ascii="_5b8b_4f53" w:hAnsi="_5b8b_4f53" w:eastAsia="宋体" w:cs="宋体"/>
          <w:color w:val="000000" w:themeColor="text1"/>
          <w:kern w:val="0"/>
          <w:sz w:val="24"/>
          <w:szCs w:val="24"/>
          <w:shd w:val="clear" w:color="auto" w:fill="FFFFFF"/>
          <w14:textFill>
            <w14:solidFill>
              <w14:schemeClr w14:val="tx1"/>
            </w14:solidFill>
          </w14:textFill>
        </w:rPr>
        <w:t>1</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980元</w:t>
      </w:r>
      <w:r>
        <w:rPr>
          <w:rFonts w:ascii="_5b8b_4f53" w:hAnsi="_5b8b_4f53" w:eastAsia="宋体" w:cs="宋体"/>
          <w:color w:val="000000" w:themeColor="text1"/>
          <w:kern w:val="0"/>
          <w:sz w:val="24"/>
          <w:szCs w:val="24"/>
          <w:shd w:val="clear" w:color="auto" w:fill="FFFFFF"/>
          <w14:textFill>
            <w14:solidFill>
              <w14:schemeClr w14:val="tx1"/>
            </w14:solidFill>
          </w14:textFill>
        </w:rPr>
        <w:t>/</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生</w:t>
      </w:r>
      <w:r>
        <w:rPr>
          <w:rFonts w:ascii="_5b8b_4f53" w:hAnsi="_5b8b_4f53" w:eastAsia="宋体" w:cs="宋体"/>
          <w:color w:val="000000" w:themeColor="text1"/>
          <w:kern w:val="0"/>
          <w:sz w:val="24"/>
          <w:szCs w:val="24"/>
          <w:shd w:val="clear" w:color="auto" w:fill="FFFFFF"/>
          <w14:textFill>
            <w14:solidFill>
              <w14:schemeClr w14:val="tx1"/>
            </w14:solidFill>
          </w14:textFill>
        </w:rPr>
        <w:t>.</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学年（安装空调）。</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ascii="_5b8b_4f53" w:hAnsi="_5b8b_4f53" w:eastAsia="宋体" w:cs="宋体"/>
          <w:color w:val="000000" w:themeColor="text1"/>
          <w:kern w:val="0"/>
          <w:sz w:val="24"/>
          <w:szCs w:val="24"/>
          <w:shd w:val="clear" w:color="auto" w:fill="FFFFFF"/>
          <w14:textFill>
            <w14:solidFill>
              <w14:schemeClr w14:val="tx1"/>
            </w14:solidFill>
          </w14:textFill>
        </w:rPr>
        <w:t>3</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、代办费收费标准：</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48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教材及考务费：每人每学年7</w:t>
      </w:r>
      <w:r>
        <w:rPr>
          <w:rFonts w:ascii="_5b8b_4f53" w:hAnsi="_5b8b_4f53" w:eastAsia="宋体" w:cs="宋体"/>
          <w:color w:val="000000" w:themeColor="text1"/>
          <w:kern w:val="0"/>
          <w:sz w:val="24"/>
          <w:szCs w:val="24"/>
          <w:shd w:val="clear" w:color="auto" w:fill="FFFFFF"/>
          <w14:textFill>
            <w14:solidFill>
              <w14:schemeClr w14:val="tx1"/>
            </w14:solidFill>
          </w14:textFill>
        </w:rPr>
        <w:t>00</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元，每学年按实际发生额结算，毕业前余额退还。</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生活用品：新生入学时一次性缴纳代办费</w:t>
      </w:r>
      <w:r>
        <w:rPr>
          <w:rFonts w:ascii="_5b8b_4f53" w:hAnsi="_5b8b_4f53" w:eastAsia="宋体" w:cs="宋体"/>
          <w:color w:val="000000" w:themeColor="text1"/>
          <w:kern w:val="0"/>
          <w:sz w:val="24"/>
          <w:szCs w:val="24"/>
          <w:shd w:val="clear" w:color="auto" w:fill="FFFFFF"/>
          <w14:textFill>
            <w14:solidFill>
              <w14:schemeClr w14:val="tx1"/>
            </w14:solidFill>
          </w14:textFill>
        </w:rPr>
        <w:t>680</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元。代办费由学院代收代支，严格遵守“专款专用，不得盈利”的原则。</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ascii="_5b8b_4f53" w:hAnsi="_5b8b_4f53" w:eastAsia="宋体" w:cs="宋体"/>
          <w:color w:val="000000" w:themeColor="text1"/>
          <w:kern w:val="0"/>
          <w:sz w:val="24"/>
          <w:szCs w:val="24"/>
          <w:shd w:val="clear" w:color="auto" w:fill="FFFFFF"/>
          <w14:textFill>
            <w14:solidFill>
              <w14:schemeClr w14:val="tx1"/>
            </w14:solidFill>
          </w14:textFill>
        </w:rPr>
        <w:t>4</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、体检费：</w:t>
      </w:r>
      <w:r>
        <w:rPr>
          <w:rFonts w:ascii="_5b8b_4f53" w:hAnsi="_5b8b_4f53" w:eastAsia="宋体" w:cs="宋体"/>
          <w:color w:val="000000" w:themeColor="text1"/>
          <w:kern w:val="0"/>
          <w:sz w:val="24"/>
          <w:szCs w:val="24"/>
          <w:shd w:val="clear" w:color="auto" w:fill="FFFFFF"/>
          <w14:textFill>
            <w14:solidFill>
              <w14:schemeClr w14:val="tx1"/>
            </w14:solidFill>
          </w14:textFill>
        </w:rPr>
        <w:t>30</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元</w:t>
      </w:r>
      <w:r>
        <w:rPr>
          <w:rFonts w:ascii="_5b8b_4f53" w:hAnsi="_5b8b_4f53" w:eastAsia="宋体" w:cs="宋体"/>
          <w:color w:val="000000" w:themeColor="text1"/>
          <w:kern w:val="0"/>
          <w:sz w:val="24"/>
          <w:szCs w:val="24"/>
          <w:shd w:val="clear" w:color="auto" w:fill="FFFFFF"/>
          <w14:textFill>
            <w14:solidFill>
              <w14:schemeClr w14:val="tx1"/>
            </w14:solidFill>
          </w14:textFill>
        </w:rPr>
        <w:t>/</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生。</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ascii="_5b8b_4f53" w:hAnsi="_5b8b_4f53" w:eastAsia="宋体" w:cs="宋体"/>
          <w:color w:val="000000" w:themeColor="text1"/>
          <w:kern w:val="0"/>
          <w:sz w:val="24"/>
          <w:szCs w:val="24"/>
          <w:shd w:val="clear" w:color="auto" w:fill="FFFFFF"/>
          <w14:textFill>
            <w14:solidFill>
              <w14:schemeClr w14:val="tx1"/>
            </w14:solidFill>
          </w14:textFill>
        </w:rPr>
        <w:t>5</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、退费办法：</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8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凡各种原因退学的学生，按照（按闽发改服价〔</w:t>
      </w:r>
      <w:r>
        <w:rPr>
          <w:rFonts w:ascii="_5b8b_4f53" w:hAnsi="_5b8b_4f53" w:eastAsia="宋体" w:cs="宋体"/>
          <w:color w:val="000000" w:themeColor="text1"/>
          <w:kern w:val="0"/>
          <w:sz w:val="24"/>
          <w:szCs w:val="24"/>
          <w:shd w:val="clear" w:color="auto" w:fill="FFFFFF"/>
          <w14:textFill>
            <w14:solidFill>
              <w14:schemeClr w14:val="tx1"/>
            </w14:solidFill>
          </w14:textFill>
        </w:rPr>
        <w:t>201</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9〕394号）福建省发展和改革委员会、省教育厅、省人力资源和社会保障厅《福建省民办教育收费管理实施细则》执行。</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465"/>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b/>
          <w:bCs/>
          <w:color w:val="000000" w:themeColor="text1"/>
          <w:kern w:val="0"/>
          <w:sz w:val="24"/>
          <w:szCs w:val="24"/>
          <w:shd w:val="clear" w:color="auto" w:fill="FFFFFF"/>
          <w14:textFill>
            <w14:solidFill>
              <w14:schemeClr w14:val="tx1"/>
            </w14:solidFill>
          </w14:textFill>
        </w:rPr>
        <w:t>八、联系方法</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36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凡志愿报考我校的考生，可通过登录我院官方网站查阅我校办学情况、招生资讯。</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36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学校招生办地址：福建省厦门市翔安文教区南洋学院招生办</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36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邮政编码：</w:t>
      </w:r>
      <w:r>
        <w:rPr>
          <w:rFonts w:ascii="_5b8b_4f53" w:hAnsi="_5b8b_4f53" w:eastAsia="宋体" w:cs="宋体"/>
          <w:color w:val="000000" w:themeColor="text1"/>
          <w:kern w:val="0"/>
          <w:sz w:val="24"/>
          <w:szCs w:val="24"/>
          <w:shd w:val="clear" w:color="auto" w:fill="FFFFFF"/>
          <w14:textFill>
            <w14:solidFill>
              <w14:schemeClr w14:val="tx1"/>
            </w14:solidFill>
          </w14:textFill>
        </w:rPr>
        <w:t>361101   </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 xml:space="preserve"> 招生办咨询电话：</w:t>
      </w:r>
      <w:r>
        <w:rPr>
          <w:rFonts w:ascii="_5b8b_4f53" w:hAnsi="_5b8b_4f53" w:eastAsia="宋体" w:cs="宋体"/>
          <w:color w:val="000000" w:themeColor="text1"/>
          <w:kern w:val="0"/>
          <w:sz w:val="24"/>
          <w:szCs w:val="24"/>
          <w:shd w:val="clear" w:color="auto" w:fill="FFFFFF"/>
          <w14:textFill>
            <w14:solidFill>
              <w14:schemeClr w14:val="tx1"/>
            </w14:solidFill>
          </w14:textFill>
        </w:rPr>
        <w:t>0592-5115299</w:t>
      </w:r>
      <w:r>
        <w:rPr>
          <w:rFonts w:hint="eastAsia" w:ascii="_5b8b_4f53" w:hAnsi="_5b8b_4f53" w:eastAsia="宋体" w:cs="宋体"/>
          <w:color w:val="000000" w:themeColor="text1"/>
          <w:kern w:val="0"/>
          <w:sz w:val="18"/>
          <w:szCs w:val="18"/>
          <w:shd w:val="clear" w:color="auto" w:fill="FFFFFF"/>
          <w14:textFill>
            <w14:solidFill>
              <w14:schemeClr w14:val="tx1"/>
            </w14:solidFill>
          </w14:textFill>
        </w:rPr>
        <w:t>　</w:t>
      </w:r>
      <w:r>
        <w:rPr>
          <w:rFonts w:ascii="_5b8b_4f53" w:hAnsi="_5b8b_4f53" w:eastAsia="宋体" w:cs="宋体"/>
          <w:color w:val="000000" w:themeColor="text1"/>
          <w:kern w:val="0"/>
          <w:sz w:val="24"/>
          <w:szCs w:val="24"/>
          <w:shd w:val="clear" w:color="auto" w:fill="FFFFFF"/>
          <w14:textFill>
            <w14:solidFill>
              <w14:schemeClr w14:val="tx1"/>
            </w14:solidFill>
          </w14:textFill>
        </w:rPr>
        <w:t>8807119</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w:t>
      </w:r>
      <w:r>
        <w:rPr>
          <w:rFonts w:ascii="_5b8b_4f53" w:hAnsi="_5b8b_4f53" w:eastAsia="宋体" w:cs="宋体"/>
          <w:color w:val="000000" w:themeColor="text1"/>
          <w:kern w:val="0"/>
          <w:sz w:val="24"/>
          <w:szCs w:val="24"/>
          <w:shd w:val="clear" w:color="auto" w:fill="FFFFFF"/>
          <w14:textFill>
            <w14:solidFill>
              <w14:schemeClr w14:val="tx1"/>
            </w14:solidFill>
          </w14:textFill>
        </w:rPr>
        <w:t>24</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小时）</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36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招生办传真：</w:t>
      </w:r>
      <w:r>
        <w:rPr>
          <w:rFonts w:ascii="_5b8b_4f53" w:hAnsi="_5b8b_4f53" w:eastAsia="宋体" w:cs="宋体"/>
          <w:color w:val="000000" w:themeColor="text1"/>
          <w:kern w:val="0"/>
          <w:sz w:val="24"/>
          <w:szCs w:val="24"/>
          <w:shd w:val="clear" w:color="auto" w:fill="FFFFFF"/>
          <w14:textFill>
            <w14:solidFill>
              <w14:schemeClr w14:val="tx1"/>
            </w14:solidFill>
          </w14:textFill>
        </w:rPr>
        <w:t>0592-5061178     </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招生监察、投诉电话：</w:t>
      </w:r>
      <w:r>
        <w:rPr>
          <w:rFonts w:ascii="_5b8b_4f53" w:hAnsi="_5b8b_4f53" w:eastAsia="宋体" w:cs="宋体"/>
          <w:color w:val="000000" w:themeColor="text1"/>
          <w:kern w:val="0"/>
          <w:sz w:val="24"/>
          <w:szCs w:val="24"/>
          <w:shd w:val="clear" w:color="auto" w:fill="FFFFFF"/>
          <w14:textFill>
            <w14:solidFill>
              <w14:schemeClr w14:val="tx1"/>
            </w14:solidFill>
          </w14:textFill>
        </w:rPr>
        <w:t>0592-7769396</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36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网址：</w:t>
      </w:r>
      <w:r>
        <w:fldChar w:fldCharType="begin"/>
      </w:r>
      <w:r>
        <w:instrText xml:space="preserve"> HYPERLINK "https://mail.qq.com/cgi-bin/mail_spam?action=check_link&amp;spam=0&amp;spam_src=1&amp;mailid=ZC4508-mOE0I1iMygJ5Lid9oFjWd82&amp;url=http%3A%2F%2Fwww%2Eny2000%2Ecom%2F" </w:instrText>
      </w:r>
      <w:r>
        <w:fldChar w:fldCharType="separate"/>
      </w:r>
      <w:r>
        <w:rPr>
          <w:rStyle w:val="9"/>
          <w:rFonts w:ascii="_5b8b_4f53" w:hAnsi="_5b8b_4f53" w:eastAsia="宋体" w:cs="宋体"/>
          <w:color w:val="000000" w:themeColor="text1"/>
          <w:kern w:val="0"/>
          <w:sz w:val="24"/>
          <w:szCs w:val="24"/>
          <w:shd w:val="clear" w:color="auto" w:fill="FFFFFF"/>
          <w14:textFill>
            <w14:solidFill>
              <w14:schemeClr w14:val="tx1"/>
            </w14:solidFill>
          </w14:textFill>
        </w:rPr>
        <w:t>www.ny2000.com</w:t>
      </w:r>
      <w:r>
        <w:rPr>
          <w:rStyle w:val="9"/>
          <w:rFonts w:ascii="_5b8b_4f53" w:hAnsi="_5b8b_4f53" w:eastAsia="宋体" w:cs="宋体"/>
          <w:color w:val="000000" w:themeColor="text1"/>
          <w:kern w:val="0"/>
          <w:sz w:val="24"/>
          <w:szCs w:val="24"/>
          <w:shd w:val="clear" w:color="auto" w:fill="FFFFFF"/>
          <w14:textFill>
            <w14:solidFill>
              <w14:schemeClr w14:val="tx1"/>
            </w14:solidFill>
          </w14:textFill>
        </w:rPr>
        <w:fldChar w:fldCharType="end"/>
      </w:r>
      <w:r>
        <w:rPr>
          <w:rFonts w:ascii="_5b8b_4f53" w:hAnsi="_5b8b_4f53" w:eastAsia="宋体" w:cs="宋体"/>
          <w:color w:val="000000" w:themeColor="text1"/>
          <w:kern w:val="0"/>
          <w:sz w:val="24"/>
          <w:szCs w:val="24"/>
          <w:shd w:val="clear" w:color="auto" w:fill="FFFFFF"/>
          <w14:textFill>
            <w14:solidFill>
              <w14:schemeClr w14:val="tx1"/>
            </w14:solidFill>
          </w14:textFill>
        </w:rPr>
        <w:t>           </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电子邮箱：</w:t>
      </w:r>
      <w:r>
        <w:fldChar w:fldCharType="begin"/>
      </w:r>
      <w:r>
        <w:instrText xml:space="preserve"> HYPERLINK "mailto:xmnanyang%40163%2Ecom" </w:instrText>
      </w:r>
      <w:r>
        <w:fldChar w:fldCharType="separate"/>
      </w:r>
      <w:r>
        <w:rPr>
          <w:rStyle w:val="9"/>
          <w:rFonts w:ascii="_5b8b_4f53" w:hAnsi="_5b8b_4f53" w:eastAsia="宋体" w:cs="宋体"/>
          <w:color w:val="000000" w:themeColor="text1"/>
          <w:kern w:val="0"/>
          <w:sz w:val="24"/>
          <w:szCs w:val="24"/>
          <w:shd w:val="clear" w:color="auto" w:fill="FFFFFF"/>
          <w14:textFill>
            <w14:solidFill>
              <w14:schemeClr w14:val="tx1"/>
            </w14:solidFill>
          </w14:textFill>
        </w:rPr>
        <w:t>xmnanyang@163.com</w:t>
      </w:r>
      <w:r>
        <w:rPr>
          <w:rStyle w:val="9"/>
          <w:rFonts w:ascii="_5b8b_4f53" w:hAnsi="_5b8b_4f53" w:eastAsia="宋体" w:cs="宋体"/>
          <w:color w:val="000000" w:themeColor="text1"/>
          <w:kern w:val="0"/>
          <w:sz w:val="24"/>
          <w:szCs w:val="24"/>
          <w:shd w:val="clear" w:color="auto" w:fill="FFFFFF"/>
          <w14:textFill>
            <w14:solidFill>
              <w14:schemeClr w14:val="tx1"/>
            </w14:solidFill>
          </w14:textFill>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39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ascii="_5b8b_4f53" w:hAnsi="_5b8b_4f53" w:eastAsia="宋体" w:cs="宋体"/>
          <w:color w:val="000000" w:themeColor="text1"/>
          <w:kern w:val="0"/>
          <w:sz w:val="24"/>
          <w:szCs w:val="24"/>
          <w:shd w:val="clear" w:color="auto" w:fill="FFFFFF"/>
          <w14:textFill>
            <w14:solidFill>
              <w14:schemeClr w14:val="tx1"/>
            </w14:solidFill>
          </w14:textFill>
        </w:rPr>
        <w:t>                                                                    </w:t>
      </w:r>
      <w:r>
        <w:rPr>
          <w:rFonts w:hint="eastAsia" w:ascii="_5b8b_4f53" w:hAnsi="_5b8b_4f53" w:eastAsia="宋体" w:cs="宋体"/>
          <w:color w:val="000000" w:themeColor="text1"/>
          <w:kern w:val="0"/>
          <w:sz w:val="24"/>
          <w:szCs w:val="24"/>
          <w:shd w:val="clear" w:color="auto" w:fill="FFFFFF"/>
          <w:lang w:val="en-US" w:eastAsia="zh-CN"/>
          <w14:textFill>
            <w14:solidFill>
              <w14:schemeClr w14:val="tx1"/>
            </w14:solidFill>
          </w14:textFill>
        </w:rPr>
        <w:t xml:space="preserve">              </w:t>
      </w:r>
      <w:r>
        <w:rPr>
          <w:rFonts w:ascii="_5b8b_4f53" w:hAnsi="_5b8b_4f53" w:eastAsia="宋体" w:cs="宋体"/>
          <w:color w:val="000000" w:themeColor="text1"/>
          <w:kern w:val="0"/>
          <w:sz w:val="24"/>
          <w:szCs w:val="24"/>
          <w:shd w:val="clear" w:color="auto" w:fill="FFFFFF"/>
          <w14:textFill>
            <w14:solidFill>
              <w14:schemeClr w14:val="tx1"/>
            </w14:solidFill>
          </w14:textFill>
        </w:rPr>
        <w:t xml:space="preserve"> </w:t>
      </w:r>
      <w:r>
        <w:rPr>
          <w:rFonts w:hint="eastAsia" w:ascii="_5b8b_4f53" w:hAnsi="_5b8b_4f53" w:eastAsia="宋体" w:cs="宋体"/>
          <w:color w:val="000000" w:themeColor="text1"/>
          <w:kern w:val="0"/>
          <w:sz w:val="24"/>
          <w:szCs w:val="24"/>
          <w:shd w:val="clear" w:color="auto" w:fill="FFFFFF"/>
          <w:lang w:val="en-US" w:eastAsia="zh-CN"/>
          <w14:textFill>
            <w14:solidFill>
              <w14:schemeClr w14:val="tx1"/>
            </w14:solidFill>
          </w14:textFill>
        </w:rPr>
        <w:t xml:space="preserve">   </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厦门南洋职业学院</w:t>
      </w:r>
    </w:p>
    <w:p>
      <w:pPr>
        <w:keepNext w:val="0"/>
        <w:keepLines w:val="0"/>
        <w:pageBreakBefore w:val="0"/>
        <w:widowControl/>
        <w:shd w:val="clear" w:color="auto" w:fill="FFFFFF"/>
        <w:kinsoku/>
        <w:wordWrap/>
        <w:overflowPunct/>
        <w:topLinePunct w:val="0"/>
        <w:autoSpaceDE/>
        <w:autoSpaceDN/>
        <w:bidi w:val="0"/>
        <w:adjustRightInd/>
        <w:snapToGrid/>
        <w:spacing w:before="150" w:after="150" w:line="380" w:lineRule="exact"/>
        <w:ind w:firstLine="6960" w:firstLineChars="2900"/>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ascii="_5b8b_4f53" w:hAnsi="_5b8b_4f53" w:eastAsia="宋体" w:cs="宋体"/>
          <w:color w:val="000000" w:themeColor="text1"/>
          <w:kern w:val="0"/>
          <w:sz w:val="24"/>
          <w:szCs w:val="24"/>
          <w:shd w:val="clear" w:color="auto" w:fill="FFFFFF"/>
          <w14:textFill>
            <w14:solidFill>
              <w14:schemeClr w14:val="tx1"/>
            </w14:solidFill>
          </w14:textFill>
        </w:rPr>
        <w:t>20</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2</w:t>
      </w:r>
      <w:r>
        <w:rPr>
          <w:rFonts w:hint="eastAsia" w:ascii="_5b8b_4f53" w:hAnsi="_5b8b_4f53" w:eastAsia="宋体" w:cs="宋体"/>
          <w:color w:val="000000" w:themeColor="text1"/>
          <w:kern w:val="0"/>
          <w:sz w:val="24"/>
          <w:szCs w:val="24"/>
          <w:shd w:val="clear" w:color="auto" w:fill="FFFFFF"/>
          <w:lang w:val="en-US" w:eastAsia="zh-CN"/>
          <w14:textFill>
            <w14:solidFill>
              <w14:schemeClr w14:val="tx1"/>
            </w14:solidFill>
          </w14:textFill>
        </w:rPr>
        <w:t>1</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年</w:t>
      </w:r>
      <w:r>
        <w:rPr>
          <w:rFonts w:hint="eastAsia" w:ascii="_5b8b_4f53" w:hAnsi="_5b8b_4f53" w:eastAsia="宋体" w:cs="宋体"/>
          <w:color w:val="000000" w:themeColor="text1"/>
          <w:kern w:val="0"/>
          <w:sz w:val="24"/>
          <w:szCs w:val="24"/>
          <w:shd w:val="clear" w:color="auto" w:fill="FFFFFF"/>
          <w:lang w:val="en-US" w:eastAsia="zh-CN"/>
          <w14:textFill>
            <w14:solidFill>
              <w14:schemeClr w14:val="tx1"/>
            </w14:solidFill>
          </w14:textFill>
        </w:rPr>
        <w:t>3</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月</w:t>
      </w:r>
    </w:p>
    <w:sectPr>
      <w:footerReference r:id="rId3" w:type="default"/>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5b8b_4f53">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52126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4E46B"/>
    <w:multiLevelType w:val="singleLevel"/>
    <w:tmpl w:val="4D34E46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2B"/>
    <w:rsid w:val="00011234"/>
    <w:rsid w:val="000313B7"/>
    <w:rsid w:val="000364A8"/>
    <w:rsid w:val="000B0E21"/>
    <w:rsid w:val="000B2DC7"/>
    <w:rsid w:val="00137784"/>
    <w:rsid w:val="001824EE"/>
    <w:rsid w:val="001C4D9E"/>
    <w:rsid w:val="002204A1"/>
    <w:rsid w:val="00241FAF"/>
    <w:rsid w:val="002449BB"/>
    <w:rsid w:val="002858B8"/>
    <w:rsid w:val="00285A03"/>
    <w:rsid w:val="0029473B"/>
    <w:rsid w:val="002C1B9F"/>
    <w:rsid w:val="002E5FB4"/>
    <w:rsid w:val="00311F1A"/>
    <w:rsid w:val="00317C2B"/>
    <w:rsid w:val="0034089F"/>
    <w:rsid w:val="003A42D8"/>
    <w:rsid w:val="003D1C50"/>
    <w:rsid w:val="003F1034"/>
    <w:rsid w:val="003F35C2"/>
    <w:rsid w:val="003F54E0"/>
    <w:rsid w:val="0042350B"/>
    <w:rsid w:val="0042533C"/>
    <w:rsid w:val="00437032"/>
    <w:rsid w:val="00454B5A"/>
    <w:rsid w:val="00463EF6"/>
    <w:rsid w:val="00480BC7"/>
    <w:rsid w:val="00486C45"/>
    <w:rsid w:val="004F464A"/>
    <w:rsid w:val="005251FE"/>
    <w:rsid w:val="005371CA"/>
    <w:rsid w:val="0054398C"/>
    <w:rsid w:val="00555DCD"/>
    <w:rsid w:val="005A7A97"/>
    <w:rsid w:val="005C298B"/>
    <w:rsid w:val="005E3820"/>
    <w:rsid w:val="006D2BDB"/>
    <w:rsid w:val="006D6D06"/>
    <w:rsid w:val="00724D9D"/>
    <w:rsid w:val="007378DB"/>
    <w:rsid w:val="007749CC"/>
    <w:rsid w:val="0079581A"/>
    <w:rsid w:val="007E4587"/>
    <w:rsid w:val="007F2414"/>
    <w:rsid w:val="007F4511"/>
    <w:rsid w:val="00816A70"/>
    <w:rsid w:val="00857798"/>
    <w:rsid w:val="00861CDF"/>
    <w:rsid w:val="00864067"/>
    <w:rsid w:val="008A3B3D"/>
    <w:rsid w:val="008B5667"/>
    <w:rsid w:val="008B776E"/>
    <w:rsid w:val="008C1B1F"/>
    <w:rsid w:val="008C4958"/>
    <w:rsid w:val="00915782"/>
    <w:rsid w:val="00931F8B"/>
    <w:rsid w:val="00961D25"/>
    <w:rsid w:val="0097754E"/>
    <w:rsid w:val="009B7C6C"/>
    <w:rsid w:val="00A421A9"/>
    <w:rsid w:val="00A61770"/>
    <w:rsid w:val="00A718E9"/>
    <w:rsid w:val="00AE78AA"/>
    <w:rsid w:val="00B25AB9"/>
    <w:rsid w:val="00B32998"/>
    <w:rsid w:val="00B41C34"/>
    <w:rsid w:val="00B50B76"/>
    <w:rsid w:val="00B656C9"/>
    <w:rsid w:val="00BD56B7"/>
    <w:rsid w:val="00C075CB"/>
    <w:rsid w:val="00C15148"/>
    <w:rsid w:val="00C22410"/>
    <w:rsid w:val="00C8012B"/>
    <w:rsid w:val="00C92E4C"/>
    <w:rsid w:val="00CB010A"/>
    <w:rsid w:val="00CC6D31"/>
    <w:rsid w:val="00CF70AC"/>
    <w:rsid w:val="00D14B39"/>
    <w:rsid w:val="00D44200"/>
    <w:rsid w:val="00DA7E1A"/>
    <w:rsid w:val="00DC2441"/>
    <w:rsid w:val="00E43283"/>
    <w:rsid w:val="00E47C4E"/>
    <w:rsid w:val="00E70284"/>
    <w:rsid w:val="00EF2AD4"/>
    <w:rsid w:val="00F10F05"/>
    <w:rsid w:val="00F21573"/>
    <w:rsid w:val="00F77E4C"/>
    <w:rsid w:val="00F9536C"/>
    <w:rsid w:val="00FC780E"/>
    <w:rsid w:val="00FD6141"/>
    <w:rsid w:val="00FE1251"/>
    <w:rsid w:val="02EE103F"/>
    <w:rsid w:val="04722A6D"/>
    <w:rsid w:val="06726487"/>
    <w:rsid w:val="074328CE"/>
    <w:rsid w:val="089A0575"/>
    <w:rsid w:val="08C401F1"/>
    <w:rsid w:val="093A70CA"/>
    <w:rsid w:val="09740C9B"/>
    <w:rsid w:val="0A03518E"/>
    <w:rsid w:val="0A117631"/>
    <w:rsid w:val="0BB0772B"/>
    <w:rsid w:val="0C2F5D65"/>
    <w:rsid w:val="14CB2B1C"/>
    <w:rsid w:val="179951FD"/>
    <w:rsid w:val="19474343"/>
    <w:rsid w:val="1CE36232"/>
    <w:rsid w:val="1F0A5694"/>
    <w:rsid w:val="1F4C5A23"/>
    <w:rsid w:val="20D26981"/>
    <w:rsid w:val="21A37DD2"/>
    <w:rsid w:val="243B579C"/>
    <w:rsid w:val="267818A3"/>
    <w:rsid w:val="2830343E"/>
    <w:rsid w:val="2B6C1789"/>
    <w:rsid w:val="2B790C88"/>
    <w:rsid w:val="2D3759B2"/>
    <w:rsid w:val="30095AD8"/>
    <w:rsid w:val="30E34C14"/>
    <w:rsid w:val="31396766"/>
    <w:rsid w:val="31D3269F"/>
    <w:rsid w:val="321E310D"/>
    <w:rsid w:val="34746ED8"/>
    <w:rsid w:val="39CE0B34"/>
    <w:rsid w:val="3B473072"/>
    <w:rsid w:val="3C0F0397"/>
    <w:rsid w:val="3C4C36D4"/>
    <w:rsid w:val="40102490"/>
    <w:rsid w:val="41715F7F"/>
    <w:rsid w:val="42475E67"/>
    <w:rsid w:val="42B63AD8"/>
    <w:rsid w:val="43E83605"/>
    <w:rsid w:val="45B00619"/>
    <w:rsid w:val="45E97496"/>
    <w:rsid w:val="48787E54"/>
    <w:rsid w:val="49134089"/>
    <w:rsid w:val="4B643686"/>
    <w:rsid w:val="4E2E4840"/>
    <w:rsid w:val="4E6F3259"/>
    <w:rsid w:val="56A301DD"/>
    <w:rsid w:val="56E37ABB"/>
    <w:rsid w:val="57BC4E10"/>
    <w:rsid w:val="5A860B12"/>
    <w:rsid w:val="5B325724"/>
    <w:rsid w:val="607129B2"/>
    <w:rsid w:val="60820C8D"/>
    <w:rsid w:val="62983602"/>
    <w:rsid w:val="62DE1E79"/>
    <w:rsid w:val="635917CD"/>
    <w:rsid w:val="63DA67F0"/>
    <w:rsid w:val="640423DB"/>
    <w:rsid w:val="674777DD"/>
    <w:rsid w:val="6C0640DE"/>
    <w:rsid w:val="6E5E45A3"/>
    <w:rsid w:val="6E6865B8"/>
    <w:rsid w:val="6FA91504"/>
    <w:rsid w:val="70812F98"/>
    <w:rsid w:val="73F43C99"/>
    <w:rsid w:val="741E6265"/>
    <w:rsid w:val="76925D76"/>
    <w:rsid w:val="7B7D1677"/>
    <w:rsid w:val="7C8F3DDB"/>
    <w:rsid w:val="7D8821F4"/>
    <w:rsid w:val="7E086B07"/>
    <w:rsid w:val="7E5C5A3D"/>
    <w:rsid w:val="7E9C12F3"/>
    <w:rsid w:val="7EAB2975"/>
    <w:rsid w:val="7EB2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1">
    <w:name w:val="页眉 Char"/>
    <w:basedOn w:val="7"/>
    <w:link w:val="5"/>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kern w:val="2"/>
      <w:sz w:val="18"/>
      <w:szCs w:val="18"/>
    </w:rPr>
  </w:style>
  <w:style w:type="character" w:customStyle="1" w:styleId="14">
    <w:name w:val="标题 1 Char"/>
    <w:basedOn w:val="7"/>
    <w:link w:val="2"/>
    <w:qFormat/>
    <w:uiPriority w:val="0"/>
    <w:rPr>
      <w:rFonts w:ascii="宋体" w:hAnsi="宋体" w:eastAsia="宋体" w:cs="Times New Roman"/>
      <w:b/>
      <w:kern w:val="44"/>
      <w:sz w:val="48"/>
      <w:szCs w:val="4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382</Words>
  <Characters>2179</Characters>
  <Lines>18</Lines>
  <Paragraphs>5</Paragraphs>
  <TotalTime>13</TotalTime>
  <ScaleCrop>false</ScaleCrop>
  <LinksUpToDate>false</LinksUpToDate>
  <CharactersWithSpaces>2556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2019-01-17T02:06:00Z</dcterms:created>
  <dc:creator>Administrator</dc:creator>
  <cp:lastModifiedBy>Administrator</cp:lastModifiedBy>
  <cp:lastPrinted>2020-05-11T07:28:00Z</cp:lastPrinted>
  <dcterms:modified xsi:type="dcterms:W3CDTF">2021-04-21T02:19:15Z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